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7763"/>
      </w:tblGrid>
      <w:tr w:rsidR="009975BE" w:rsidTr="009975BE">
        <w:tc>
          <w:tcPr>
            <w:tcW w:w="7763" w:type="dxa"/>
          </w:tcPr>
          <w:p w:rsidR="009975BE" w:rsidRDefault="009975BE"/>
        </w:tc>
      </w:tr>
      <w:tr w:rsidR="009975BE" w:rsidTr="009975BE">
        <w:tc>
          <w:tcPr>
            <w:tcW w:w="7763" w:type="dxa"/>
          </w:tcPr>
          <w:p w:rsidR="009975BE" w:rsidRDefault="009975BE" w:rsidP="009975BE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AS90850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                                                  1.2</w:t>
            </w:r>
          </w:p>
          <w:p w:rsidR="009975BE" w:rsidRDefault="009975BE" w:rsidP="009975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Show understanding of specified aspect(s) of studied visual or oral text(s), using supporting evidence</w:t>
            </w: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4 credits</w:t>
            </w:r>
            <w:r>
              <w:rPr>
                <w:sz w:val="22"/>
                <w:szCs w:val="22"/>
              </w:rPr>
              <w:tab/>
              <w:t>External</w:t>
            </w:r>
          </w:p>
        </w:tc>
      </w:tr>
      <w:tr w:rsidR="009975BE" w:rsidTr="009975BE">
        <w:tc>
          <w:tcPr>
            <w:tcW w:w="7763" w:type="dxa"/>
          </w:tcPr>
          <w:p w:rsidR="009975BE" w:rsidRDefault="009975BE" w:rsidP="009975BE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AS90851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                                                  1.3</w:t>
            </w:r>
          </w:p>
          <w:p w:rsidR="009975BE" w:rsidRDefault="009975BE" w:rsidP="009975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Show understanding of significant aspects of unfamiliar written text(s) through close reading, using supporting evidence</w:t>
            </w: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4 credits</w:t>
            </w:r>
            <w:r>
              <w:rPr>
                <w:sz w:val="22"/>
                <w:szCs w:val="22"/>
              </w:rPr>
              <w:tab/>
              <w:t>External</w:t>
            </w:r>
          </w:p>
        </w:tc>
      </w:tr>
      <w:tr w:rsidR="009975BE" w:rsidTr="009975BE">
        <w:tc>
          <w:tcPr>
            <w:tcW w:w="7763" w:type="dxa"/>
          </w:tcPr>
          <w:p w:rsidR="009975BE" w:rsidRDefault="009975BE" w:rsidP="009975BE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AS90052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                                                  1.4</w:t>
            </w:r>
          </w:p>
          <w:p w:rsidR="009975BE" w:rsidRDefault="009975BE" w:rsidP="009975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Produce creative writing</w:t>
            </w: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3 credits</w:t>
            </w:r>
            <w:r>
              <w:rPr>
                <w:sz w:val="22"/>
                <w:szCs w:val="22"/>
              </w:rPr>
              <w:tab/>
              <w:t>Internal</w:t>
            </w:r>
          </w:p>
        </w:tc>
      </w:tr>
      <w:tr w:rsidR="009975BE" w:rsidTr="009975BE">
        <w:tc>
          <w:tcPr>
            <w:tcW w:w="7763" w:type="dxa"/>
          </w:tcPr>
          <w:p w:rsidR="009975BE" w:rsidRDefault="009975BE" w:rsidP="009975BE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AS90855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                                                  1.7</w:t>
            </w:r>
          </w:p>
          <w:p w:rsidR="009975BE" w:rsidRDefault="009975BE" w:rsidP="009975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Create a visual text</w:t>
            </w: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3 credits</w:t>
            </w:r>
            <w:r>
              <w:rPr>
                <w:sz w:val="22"/>
                <w:szCs w:val="22"/>
              </w:rPr>
              <w:tab/>
              <w:t>Internal</w:t>
            </w:r>
          </w:p>
        </w:tc>
      </w:tr>
      <w:tr w:rsidR="009975BE" w:rsidTr="009975BE">
        <w:tc>
          <w:tcPr>
            <w:tcW w:w="7763" w:type="dxa"/>
          </w:tcPr>
          <w:p w:rsidR="009975BE" w:rsidRDefault="009975BE" w:rsidP="009975BE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AS90854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                                                  1.10</w:t>
            </w:r>
          </w:p>
          <w:p w:rsidR="009975BE" w:rsidRDefault="009975BE" w:rsidP="009975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Form personal response to independently read texts, supported by evidence</w:t>
            </w: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4 credits</w:t>
            </w:r>
            <w:r>
              <w:rPr>
                <w:sz w:val="22"/>
                <w:szCs w:val="22"/>
              </w:rPr>
              <w:tab/>
              <w:t>Internal</w:t>
            </w:r>
          </w:p>
        </w:tc>
      </w:tr>
      <w:tr w:rsidR="009975BE" w:rsidTr="009975BE">
        <w:tc>
          <w:tcPr>
            <w:tcW w:w="7763" w:type="dxa"/>
          </w:tcPr>
          <w:p w:rsidR="009975BE" w:rsidRDefault="009975BE" w:rsidP="009975BE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AS90856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                                                  1.11</w:t>
            </w:r>
          </w:p>
          <w:p w:rsidR="009975BE" w:rsidRDefault="009975BE" w:rsidP="009975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Show understanding of visual and/or oral text(s) through close viewing and/or listening, using supporting evidence</w:t>
            </w:r>
          </w:p>
          <w:p w:rsidR="009975BE" w:rsidRDefault="009975BE" w:rsidP="009975BE">
            <w:pPr>
              <w:tabs>
                <w:tab w:val="left" w:pos="3762"/>
              </w:tabs>
              <w:rPr>
                <w:rFonts w:cs="Times New Roman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3 credits</w:t>
            </w:r>
            <w:r>
              <w:rPr>
                <w:sz w:val="22"/>
                <w:szCs w:val="22"/>
              </w:rPr>
              <w:tab/>
              <w:t>Internal</w:t>
            </w:r>
          </w:p>
        </w:tc>
      </w:tr>
      <w:tr w:rsidR="009975BE" w:rsidTr="009975BE">
        <w:tc>
          <w:tcPr>
            <w:tcW w:w="7763" w:type="dxa"/>
          </w:tcPr>
          <w:p w:rsidR="009975BE" w:rsidRDefault="009975BE"/>
        </w:tc>
      </w:tr>
      <w:tr w:rsidR="009975BE" w:rsidTr="009975BE">
        <w:tc>
          <w:tcPr>
            <w:tcW w:w="7763" w:type="dxa"/>
          </w:tcPr>
          <w:p w:rsidR="009975BE" w:rsidRDefault="009975BE"/>
        </w:tc>
      </w:tr>
      <w:tr w:rsidR="009975BE" w:rsidTr="009975BE">
        <w:tc>
          <w:tcPr>
            <w:tcW w:w="7763" w:type="dxa"/>
          </w:tcPr>
          <w:p w:rsidR="009975BE" w:rsidRDefault="009975BE"/>
        </w:tc>
      </w:tr>
    </w:tbl>
    <w:p w:rsidR="009975BE" w:rsidRDefault="009975BE"/>
    <w:p w:rsidR="009975BE" w:rsidRDefault="009975BE"/>
    <w:tbl>
      <w:tblPr>
        <w:tblStyle w:val="TableGrid"/>
        <w:tblW w:w="0" w:type="auto"/>
        <w:tblLook w:val="00BF"/>
      </w:tblPr>
      <w:tblGrid>
        <w:gridCol w:w="8516"/>
      </w:tblGrid>
      <w:tr w:rsidR="009975BE">
        <w:tc>
          <w:tcPr>
            <w:tcW w:w="8516" w:type="dxa"/>
          </w:tcPr>
          <w:p w:rsidR="009975BE" w:rsidRDefault="009975BE" w:rsidP="009975BE">
            <w:pPr>
              <w:pStyle w:val="BodyText"/>
              <w:tabs>
                <w:tab w:val="left" w:pos="2308"/>
              </w:tabs>
              <w:rPr>
                <w:rFonts w:cs="Times New Roman"/>
                <w:b w:val="0"/>
                <w:b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AS90992                                </w:t>
            </w:r>
            <w:r>
              <w:rPr>
                <w:rFonts w:cs="Times New Roman"/>
                <w:sz w:val="22"/>
                <w:szCs w:val="22"/>
              </w:rPr>
              <w:t>1.4</w:t>
            </w:r>
          </w:p>
          <w:p w:rsidR="009975BE" w:rsidRDefault="009975BE" w:rsidP="009975BE">
            <w:pPr>
              <w:pStyle w:val="BodyText"/>
              <w:tabs>
                <w:tab w:val="left" w:pos="2308"/>
              </w:tabs>
              <w:rPr>
                <w:rFonts w:cs="Times New Roman"/>
                <w:b w:val="0"/>
                <w:b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>Demonstrate understanding of characteristics of a media genre</w:t>
            </w:r>
          </w:p>
          <w:p w:rsidR="009975BE" w:rsidRDefault="009975BE" w:rsidP="009975BE">
            <w:pPr>
              <w:pStyle w:val="BodyText"/>
              <w:tabs>
                <w:tab w:val="left" w:pos="2308"/>
              </w:tabs>
              <w:rPr>
                <w:rFonts w:cs="Times New Roman"/>
                <w:b w:val="0"/>
                <w:bCs w:val="0"/>
                <w:sz w:val="22"/>
                <w:szCs w:val="22"/>
              </w:rPr>
            </w:pPr>
          </w:p>
          <w:p w:rsidR="009975BE" w:rsidRDefault="009975BE" w:rsidP="009975BE">
            <w:r>
              <w:rPr>
                <w:sz w:val="22"/>
                <w:szCs w:val="22"/>
              </w:rPr>
              <w:t>4 credits                          External</w:t>
            </w:r>
          </w:p>
        </w:tc>
      </w:tr>
      <w:tr w:rsidR="009975BE">
        <w:tc>
          <w:tcPr>
            <w:tcW w:w="8516" w:type="dxa"/>
          </w:tcPr>
          <w:p w:rsidR="009975BE" w:rsidRDefault="009975BE"/>
        </w:tc>
      </w:tr>
    </w:tbl>
    <w:p w:rsidR="00B131EC" w:rsidRDefault="009975BE"/>
    <w:sectPr w:rsidR="00B131EC" w:rsidSect="00B131E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975BE"/>
    <w:rsid w:val="009975B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975BE"/>
    <w:rPr>
      <w:rFonts w:ascii="Arial" w:hAnsi="Arial"/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975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975BE"/>
    <w:rPr>
      <w:rFonts w:ascii="Times New Roman" w:hAnsi="Times New Roman"/>
      <w:b/>
      <w:bCs/>
      <w:lang w:val="en-GB" w:eastAsia="en-NZ"/>
    </w:rPr>
  </w:style>
  <w:style w:type="character" w:customStyle="1" w:styleId="BodyTextChar">
    <w:name w:val="Body Text Char"/>
    <w:basedOn w:val="DefaultParagraphFont"/>
    <w:link w:val="BodyText"/>
    <w:uiPriority w:val="99"/>
    <w:rsid w:val="009975BE"/>
    <w:rPr>
      <w:rFonts w:ascii="Times New Roman" w:hAnsi="Times New Roman"/>
      <w:b/>
      <w:bCs/>
      <w:sz w:val="24"/>
      <w:szCs w:val="24"/>
      <w:lang w:val="en-GB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1</cp:revision>
  <dcterms:created xsi:type="dcterms:W3CDTF">2010-03-26T10:12:00Z</dcterms:created>
  <dcterms:modified xsi:type="dcterms:W3CDTF">2010-03-26T10:25:00Z</dcterms:modified>
</cp:coreProperties>
</file>